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pPr>
      <w:proofErr w:type="gramStart"/>
      <w:r>
        <w:rPr>
          <w:rFonts w:cs="Times New Roman"/>
        </w:rPr>
        <w:t xml:space="preserve">Палата земельных и имущественных отношений </w:t>
      </w:r>
      <w:proofErr w:type="spellStart"/>
      <w:r>
        <w:rPr>
          <w:rFonts w:cs="Times New Roman"/>
        </w:rPr>
        <w:t>Альметьевского</w:t>
      </w:r>
      <w:proofErr w:type="spellEnd"/>
      <w:r>
        <w:rPr>
          <w:rFonts w:cs="Times New Roman"/>
        </w:rPr>
        <w:t xml:space="preserve"> муниципального района Республики Татарстан информирует об итогах открытого  аукциона на право заключения договоров аренды земельных участков, государственная собственность на которые не разграничена, из земель населенных пунктов, назначенного на 17 августа 2020 г. на 10-00 часов, в соответствии с постановлением Исполнительного комитета   </w:t>
      </w:r>
      <w:proofErr w:type="spellStart"/>
      <w:r>
        <w:rPr>
          <w:rFonts w:cs="Times New Roman"/>
        </w:rPr>
        <w:t>Альметьевского</w:t>
      </w:r>
      <w:proofErr w:type="spellEnd"/>
      <w:r>
        <w:rPr>
          <w:rFonts w:cs="Times New Roman"/>
        </w:rPr>
        <w:t xml:space="preserve"> муниципального района от  06 июля 2020 г. № 891, с постановлением Исполнительного комитета</w:t>
      </w:r>
      <w:proofErr w:type="gramEnd"/>
      <w:r>
        <w:rPr>
          <w:rFonts w:cs="Times New Roman"/>
        </w:rPr>
        <w:t xml:space="preserve">   </w:t>
      </w:r>
      <w:proofErr w:type="spellStart"/>
      <w:r>
        <w:rPr>
          <w:rFonts w:cs="Times New Roman"/>
        </w:rPr>
        <w:t>Альметьевского</w:t>
      </w:r>
      <w:proofErr w:type="spellEnd"/>
      <w:r>
        <w:rPr>
          <w:rFonts w:cs="Times New Roman"/>
        </w:rPr>
        <w:t xml:space="preserve"> муниципального района от  10 июля 2020 г. № 933:</w:t>
      </w:r>
    </w:p>
    <w:p/>
    <w:p>
      <w:r>
        <w:t>На основании п.14 ст. 39.12 Земельного кодекса Российской Федерации: в случае, если по окончании срока подачи заявок на участие в аукционе на лот подана только одна заявка на участие в аукционе, аукцион по данному лоту признается несостоявшимся: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5"/>
        <w:gridCol w:w="2511"/>
        <w:gridCol w:w="2511"/>
        <w:gridCol w:w="1925"/>
      </w:tblGrid>
      <w:tr>
        <w:tc>
          <w:tcPr>
            <w:tcW w:w="329" w:type="pct"/>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w:t>
            </w: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 лота</w:t>
            </w:r>
          </w:p>
        </w:tc>
        <w:tc>
          <w:tcPr>
            <w:tcW w:w="2321" w:type="pct"/>
          </w:tcPr>
          <w:p>
            <w:pPr>
              <w:autoSpaceDE w:val="0"/>
              <w:autoSpaceDN w:val="0"/>
              <w:adjustRightInd w:val="0"/>
              <w:spacing w:line="216" w:lineRule="auto"/>
              <w:jc w:val="center"/>
              <w:rPr>
                <w:rFonts w:eastAsia="Times New Roman" w:cs="Times New Roman"/>
                <w:sz w:val="22"/>
                <w:szCs w:val="22"/>
              </w:rPr>
            </w:pP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Земельный участок</w:t>
            </w:r>
          </w:p>
        </w:tc>
        <w:tc>
          <w:tcPr>
            <w:tcW w:w="849" w:type="pct"/>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Срок, на который заключается договор аренды (лет)</w:t>
            </w:r>
          </w:p>
        </w:tc>
        <w:tc>
          <w:tcPr>
            <w:tcW w:w="849"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ФИО</w:t>
            </w: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победителя</w:t>
            </w:r>
          </w:p>
        </w:tc>
        <w:tc>
          <w:tcPr>
            <w:tcW w:w="651"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Начальный</w:t>
            </w: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размер ежегодной арендной платы, руб.</w:t>
            </w:r>
          </w:p>
        </w:tc>
      </w:tr>
      <w:tr>
        <w:trPr>
          <w:trHeight w:val="1115"/>
        </w:trPr>
        <w:tc>
          <w:tcPr>
            <w:tcW w:w="329"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1</w:t>
            </w:r>
          </w:p>
        </w:tc>
        <w:tc>
          <w:tcPr>
            <w:tcW w:w="2321" w:type="pct"/>
          </w:tcPr>
          <w:p>
            <w:pPr>
              <w:spacing w:line="223" w:lineRule="auto"/>
              <w:rPr>
                <w:rFonts w:eastAsia="Times New Roman" w:cs="Times New Roman"/>
                <w:sz w:val="22"/>
                <w:szCs w:val="22"/>
              </w:rPr>
            </w:pPr>
            <w:r>
              <w:rPr>
                <w:rFonts w:eastAsia="Times New Roman" w:cs="Times New Roman"/>
                <w:sz w:val="22"/>
                <w:szCs w:val="22"/>
              </w:rPr>
              <w:t xml:space="preserve">Земельный участок, площадью 158 </w:t>
            </w:r>
            <w:proofErr w:type="spellStart"/>
            <w:r>
              <w:rPr>
                <w:rFonts w:eastAsia="Times New Roman" w:cs="Times New Roman"/>
                <w:sz w:val="22"/>
                <w:szCs w:val="22"/>
              </w:rPr>
              <w:t>кв.м</w:t>
            </w:r>
            <w:proofErr w:type="spellEnd"/>
            <w:r>
              <w:rPr>
                <w:rFonts w:eastAsia="Times New Roman" w:cs="Times New Roman"/>
                <w:sz w:val="22"/>
                <w:szCs w:val="22"/>
              </w:rPr>
              <w:t xml:space="preserve">., относящийся к землям населенных пунктов, кадастровый №16:07:060103:759, вид разрешенного использования – магазины, расположенный по адресу: </w:t>
            </w:r>
            <w:proofErr w:type="spellStart"/>
            <w:r>
              <w:rPr>
                <w:rFonts w:eastAsia="Times New Roman" w:cs="Times New Roman"/>
                <w:sz w:val="22"/>
                <w:szCs w:val="22"/>
              </w:rPr>
              <w:t>Альметьевский</w:t>
            </w:r>
            <w:proofErr w:type="spellEnd"/>
            <w:r>
              <w:rPr>
                <w:rFonts w:eastAsia="Times New Roman" w:cs="Times New Roman"/>
                <w:sz w:val="22"/>
                <w:szCs w:val="22"/>
              </w:rPr>
              <w:t xml:space="preserve"> р-он, </w:t>
            </w:r>
            <w:proofErr w:type="spellStart"/>
            <w:r>
              <w:rPr>
                <w:rFonts w:eastAsia="Times New Roman" w:cs="Times New Roman"/>
                <w:sz w:val="22"/>
                <w:szCs w:val="22"/>
              </w:rPr>
              <w:t>Новонадыровское</w:t>
            </w:r>
            <w:proofErr w:type="spellEnd"/>
            <w:r>
              <w:rPr>
                <w:rFonts w:eastAsia="Times New Roman" w:cs="Times New Roman"/>
                <w:sz w:val="22"/>
                <w:szCs w:val="22"/>
              </w:rPr>
              <w:t xml:space="preserve"> сельское поселение с. Новое </w:t>
            </w:r>
            <w:proofErr w:type="spellStart"/>
            <w:r>
              <w:rPr>
                <w:rFonts w:eastAsia="Times New Roman" w:cs="Times New Roman"/>
                <w:sz w:val="22"/>
                <w:szCs w:val="22"/>
              </w:rPr>
              <w:t>Надырово</w:t>
            </w:r>
            <w:proofErr w:type="spellEnd"/>
            <w:r>
              <w:rPr>
                <w:rFonts w:eastAsia="Times New Roman" w:cs="Times New Roman"/>
                <w:sz w:val="22"/>
                <w:szCs w:val="22"/>
              </w:rPr>
              <w:t>, ул. Кирова, з/у 23</w:t>
            </w:r>
            <w:proofErr w:type="gramStart"/>
            <w:r>
              <w:rPr>
                <w:rFonts w:eastAsia="Times New Roman" w:cs="Times New Roman"/>
                <w:sz w:val="22"/>
                <w:szCs w:val="22"/>
              </w:rPr>
              <w:t xml:space="preserve"> А</w:t>
            </w:r>
            <w:proofErr w:type="gramEnd"/>
          </w:p>
        </w:tc>
        <w:tc>
          <w:tcPr>
            <w:tcW w:w="849"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5</w:t>
            </w:r>
          </w:p>
        </w:tc>
        <w:tc>
          <w:tcPr>
            <w:tcW w:w="849" w:type="pct"/>
            <w:vAlign w:val="center"/>
          </w:tcPr>
          <w:p>
            <w:pPr>
              <w:autoSpaceDE w:val="0"/>
              <w:autoSpaceDN w:val="0"/>
              <w:adjustRightInd w:val="0"/>
              <w:spacing w:line="216" w:lineRule="auto"/>
              <w:jc w:val="center"/>
              <w:rPr>
                <w:rFonts w:eastAsia="Times New Roman" w:cs="Times New Roman"/>
                <w:sz w:val="22"/>
                <w:szCs w:val="22"/>
              </w:rPr>
            </w:pPr>
            <w:proofErr w:type="spellStart"/>
            <w:r>
              <w:rPr>
                <w:rFonts w:eastAsia="Times New Roman" w:cs="Times New Roman"/>
                <w:sz w:val="22"/>
                <w:szCs w:val="22"/>
              </w:rPr>
              <w:t>Канзафаров</w:t>
            </w:r>
            <w:proofErr w:type="spellEnd"/>
            <w:r>
              <w:rPr>
                <w:rFonts w:eastAsia="Times New Roman" w:cs="Times New Roman"/>
                <w:sz w:val="22"/>
                <w:szCs w:val="22"/>
              </w:rPr>
              <w:t xml:space="preserve"> </w:t>
            </w:r>
            <w:proofErr w:type="spellStart"/>
            <w:r>
              <w:rPr>
                <w:rFonts w:eastAsia="Times New Roman" w:cs="Times New Roman"/>
                <w:sz w:val="22"/>
                <w:szCs w:val="22"/>
              </w:rPr>
              <w:t>Ильнур</w:t>
            </w:r>
            <w:proofErr w:type="spellEnd"/>
            <w:r>
              <w:rPr>
                <w:rFonts w:eastAsia="Times New Roman" w:cs="Times New Roman"/>
                <w:sz w:val="22"/>
                <w:szCs w:val="22"/>
              </w:rPr>
              <w:t xml:space="preserve"> </w:t>
            </w:r>
            <w:proofErr w:type="spellStart"/>
            <w:r>
              <w:rPr>
                <w:rFonts w:eastAsia="Times New Roman" w:cs="Times New Roman"/>
                <w:sz w:val="22"/>
                <w:szCs w:val="22"/>
              </w:rPr>
              <w:t>Масгутович</w:t>
            </w:r>
            <w:proofErr w:type="spellEnd"/>
          </w:p>
        </w:tc>
        <w:tc>
          <w:tcPr>
            <w:tcW w:w="651" w:type="pct"/>
            <w:vAlign w:val="center"/>
          </w:tcPr>
          <w:p>
            <w:pPr>
              <w:spacing w:line="216" w:lineRule="auto"/>
              <w:jc w:val="center"/>
              <w:rPr>
                <w:rFonts w:eastAsia="Times New Roman" w:cs="Times New Roman"/>
                <w:sz w:val="22"/>
                <w:szCs w:val="22"/>
              </w:rPr>
            </w:pPr>
            <w:r>
              <w:rPr>
                <w:rFonts w:eastAsia="Times New Roman" w:cs="Times New Roman"/>
                <w:sz w:val="22"/>
                <w:szCs w:val="22"/>
              </w:rPr>
              <w:t>14 700</w:t>
            </w:r>
          </w:p>
        </w:tc>
      </w:tr>
    </w:tbl>
    <w:p/>
    <w:p>
      <w:pPr>
        <w:rPr>
          <w:sz w:val="26"/>
          <w:szCs w:val="26"/>
        </w:rPr>
      </w:pPr>
      <w:r>
        <w:rPr>
          <w:b/>
          <w:sz w:val="26"/>
          <w:szCs w:val="26"/>
        </w:rPr>
        <w:t>На основании п.14 ст. 39.12 Земельного кодекса</w:t>
      </w:r>
      <w:r>
        <w:rPr>
          <w:sz w:val="26"/>
          <w:szCs w:val="26"/>
        </w:rPr>
        <w:t>: в случае, если по окончании срока подачи заявок на участие в аукционе не подано ни одной заявки на участие в аукционе, аукцион по следующему лоту признать несостоявшимся: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824"/>
        <w:gridCol w:w="4986"/>
      </w:tblGrid>
      <w:tr>
        <w:tc>
          <w:tcPr>
            <w:tcW w:w="330"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 № лота</w:t>
            </w:r>
          </w:p>
        </w:tc>
        <w:tc>
          <w:tcPr>
            <w:tcW w:w="2984" w:type="pct"/>
          </w:tcPr>
          <w:p>
            <w:pPr>
              <w:autoSpaceDE w:val="0"/>
              <w:autoSpaceDN w:val="0"/>
              <w:adjustRightInd w:val="0"/>
              <w:spacing w:line="216" w:lineRule="auto"/>
              <w:jc w:val="center"/>
              <w:rPr>
                <w:rFonts w:eastAsia="Times New Roman" w:cs="Times New Roman"/>
                <w:sz w:val="22"/>
                <w:szCs w:val="22"/>
              </w:rPr>
            </w:pP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Земельный участок</w:t>
            </w:r>
          </w:p>
        </w:tc>
        <w:tc>
          <w:tcPr>
            <w:tcW w:w="1686"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Начальный</w:t>
            </w:r>
          </w:p>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размер ежегодной арендной платы, руб.</w:t>
            </w:r>
          </w:p>
        </w:tc>
      </w:tr>
      <w:tr>
        <w:trPr>
          <w:trHeight w:val="984"/>
        </w:trPr>
        <w:tc>
          <w:tcPr>
            <w:tcW w:w="330"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2</w:t>
            </w:r>
          </w:p>
        </w:tc>
        <w:tc>
          <w:tcPr>
            <w:tcW w:w="2984" w:type="pct"/>
          </w:tcPr>
          <w:p>
            <w:pPr>
              <w:spacing w:line="216" w:lineRule="auto"/>
              <w:ind w:left="-108"/>
              <w:jc w:val="both"/>
              <w:rPr>
                <w:rFonts w:eastAsia="Times New Roman" w:cs="Times New Roman"/>
                <w:sz w:val="22"/>
                <w:szCs w:val="22"/>
              </w:rPr>
            </w:pPr>
            <w:r>
              <w:rPr>
                <w:rFonts w:eastAsia="Times New Roman" w:cs="Times New Roman"/>
                <w:sz w:val="22"/>
                <w:szCs w:val="22"/>
              </w:rPr>
              <w:t xml:space="preserve">Земельный участок, площадью 799 999 </w:t>
            </w:r>
            <w:proofErr w:type="spellStart"/>
            <w:r>
              <w:rPr>
                <w:rFonts w:eastAsia="Times New Roman" w:cs="Times New Roman"/>
                <w:sz w:val="22"/>
                <w:szCs w:val="22"/>
              </w:rPr>
              <w:t>кв.м</w:t>
            </w:r>
            <w:proofErr w:type="spellEnd"/>
            <w:r>
              <w:rPr>
                <w:rFonts w:eastAsia="Times New Roman" w:cs="Times New Roman"/>
                <w:sz w:val="22"/>
                <w:szCs w:val="22"/>
              </w:rPr>
              <w:t>., относящийся к землям сельскохозяйственного назначения, кадастровый №16:07:000000:1341 (единое землепользование), вид разрешенного использования -  сельскохозяйственное использование, расположенный по адресу:</w:t>
            </w:r>
            <w:r>
              <w:rPr>
                <w:rFonts w:eastAsia="Times New Roman" w:cs="Times New Roman"/>
                <w:sz w:val="20"/>
                <w:szCs w:val="20"/>
              </w:rPr>
              <w:t xml:space="preserve"> </w:t>
            </w:r>
            <w:proofErr w:type="spellStart"/>
            <w:proofErr w:type="gramStart"/>
            <w:r>
              <w:rPr>
                <w:rFonts w:eastAsia="Times New Roman" w:cs="Times New Roman"/>
                <w:sz w:val="22"/>
                <w:szCs w:val="22"/>
              </w:rPr>
              <w:t>Альметьевский</w:t>
            </w:r>
            <w:proofErr w:type="spellEnd"/>
            <w:proofErr w:type="gramEnd"/>
            <w:r>
              <w:rPr>
                <w:rFonts w:eastAsia="Times New Roman" w:cs="Times New Roman"/>
                <w:sz w:val="22"/>
                <w:szCs w:val="22"/>
              </w:rPr>
              <w:t xml:space="preserve"> р-он, С/Х ООО А/Ф «Васильевская»</w:t>
            </w:r>
            <w:bookmarkStart w:id="0" w:name="_GoBack"/>
            <w:bookmarkEnd w:id="0"/>
          </w:p>
        </w:tc>
        <w:tc>
          <w:tcPr>
            <w:tcW w:w="1686" w:type="pct"/>
            <w:vAlign w:val="center"/>
          </w:tcPr>
          <w:p>
            <w:pPr>
              <w:ind w:left="-107"/>
              <w:jc w:val="center"/>
              <w:rPr>
                <w:rFonts w:eastAsia="Times New Roman" w:cs="Times New Roman"/>
                <w:sz w:val="22"/>
                <w:szCs w:val="22"/>
              </w:rPr>
            </w:pPr>
            <w:r>
              <w:rPr>
                <w:rFonts w:eastAsia="Times New Roman" w:cs="Times New Roman"/>
                <w:sz w:val="22"/>
                <w:szCs w:val="22"/>
              </w:rPr>
              <w:t>40 492</w:t>
            </w:r>
          </w:p>
        </w:tc>
      </w:tr>
      <w:tr>
        <w:tc>
          <w:tcPr>
            <w:tcW w:w="330"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3</w:t>
            </w:r>
          </w:p>
        </w:tc>
        <w:tc>
          <w:tcPr>
            <w:tcW w:w="2984" w:type="pct"/>
          </w:tcPr>
          <w:p>
            <w:pPr>
              <w:spacing w:line="216" w:lineRule="auto"/>
              <w:ind w:left="-108"/>
              <w:jc w:val="both"/>
              <w:rPr>
                <w:rFonts w:eastAsia="Times New Roman" w:cs="Times New Roman"/>
                <w:sz w:val="22"/>
                <w:szCs w:val="22"/>
              </w:rPr>
            </w:pPr>
            <w:r>
              <w:rPr>
                <w:rFonts w:eastAsia="Times New Roman" w:cs="Times New Roman"/>
                <w:sz w:val="22"/>
                <w:szCs w:val="22"/>
              </w:rPr>
              <w:t xml:space="preserve">Земельный участок, площадью 322 585 </w:t>
            </w:r>
            <w:proofErr w:type="spellStart"/>
            <w:r>
              <w:rPr>
                <w:rFonts w:eastAsia="Times New Roman" w:cs="Times New Roman"/>
                <w:sz w:val="22"/>
                <w:szCs w:val="22"/>
              </w:rPr>
              <w:t>кв.м</w:t>
            </w:r>
            <w:proofErr w:type="spellEnd"/>
            <w:r>
              <w:rPr>
                <w:rFonts w:eastAsia="Times New Roman" w:cs="Times New Roman"/>
                <w:sz w:val="22"/>
                <w:szCs w:val="22"/>
              </w:rPr>
              <w:t>.,  относящийся к землям сельскохозяйственного назначения, кадастровый №16:07:350001:348, вид разрешенного использования -  сельскохозяйственное использование, расположенный по адресу:</w:t>
            </w:r>
            <w:r>
              <w:rPr>
                <w:rFonts w:eastAsia="Times New Roman" w:cs="Times New Roman"/>
                <w:sz w:val="20"/>
                <w:szCs w:val="20"/>
              </w:rPr>
              <w:t xml:space="preserve"> </w:t>
            </w:r>
            <w:proofErr w:type="spellStart"/>
            <w:proofErr w:type="gramStart"/>
            <w:r>
              <w:rPr>
                <w:rFonts w:eastAsia="Times New Roman" w:cs="Times New Roman"/>
                <w:sz w:val="22"/>
                <w:szCs w:val="22"/>
              </w:rPr>
              <w:t>Альметьевский</w:t>
            </w:r>
            <w:proofErr w:type="spellEnd"/>
            <w:proofErr w:type="gramEnd"/>
            <w:r>
              <w:rPr>
                <w:rFonts w:eastAsia="Times New Roman" w:cs="Times New Roman"/>
                <w:sz w:val="22"/>
                <w:szCs w:val="22"/>
              </w:rPr>
              <w:t xml:space="preserve"> р-он, С/Х ООО А/Ф «Васильевская»</w:t>
            </w:r>
          </w:p>
        </w:tc>
        <w:tc>
          <w:tcPr>
            <w:tcW w:w="1686" w:type="pct"/>
            <w:vAlign w:val="center"/>
          </w:tcPr>
          <w:p>
            <w:pPr>
              <w:ind w:left="-107"/>
              <w:jc w:val="center"/>
              <w:rPr>
                <w:rFonts w:eastAsia="Times New Roman" w:cs="Times New Roman"/>
                <w:sz w:val="22"/>
                <w:szCs w:val="22"/>
              </w:rPr>
            </w:pPr>
            <w:r>
              <w:rPr>
                <w:rFonts w:eastAsia="Times New Roman" w:cs="Times New Roman"/>
                <w:sz w:val="22"/>
                <w:szCs w:val="22"/>
              </w:rPr>
              <w:t>17 371</w:t>
            </w:r>
          </w:p>
        </w:tc>
      </w:tr>
      <w:tr>
        <w:tc>
          <w:tcPr>
            <w:tcW w:w="330"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4</w:t>
            </w:r>
          </w:p>
        </w:tc>
        <w:tc>
          <w:tcPr>
            <w:tcW w:w="2984" w:type="pct"/>
          </w:tcPr>
          <w:p>
            <w:pPr>
              <w:spacing w:line="216" w:lineRule="auto"/>
              <w:ind w:left="-108"/>
              <w:jc w:val="both"/>
              <w:rPr>
                <w:rFonts w:eastAsia="Times New Roman" w:cs="Times New Roman"/>
                <w:sz w:val="22"/>
                <w:szCs w:val="22"/>
              </w:rPr>
            </w:pPr>
            <w:r>
              <w:rPr>
                <w:rFonts w:eastAsia="Times New Roman" w:cs="Times New Roman"/>
                <w:sz w:val="22"/>
                <w:szCs w:val="22"/>
              </w:rPr>
              <w:t xml:space="preserve">Земельный участок, площадью 500 000 </w:t>
            </w:r>
            <w:proofErr w:type="spellStart"/>
            <w:r>
              <w:rPr>
                <w:rFonts w:eastAsia="Times New Roman" w:cs="Times New Roman"/>
                <w:sz w:val="22"/>
                <w:szCs w:val="22"/>
              </w:rPr>
              <w:t>кв.м</w:t>
            </w:r>
            <w:proofErr w:type="spellEnd"/>
            <w:r>
              <w:rPr>
                <w:rFonts w:eastAsia="Times New Roman" w:cs="Times New Roman"/>
                <w:sz w:val="22"/>
                <w:szCs w:val="22"/>
              </w:rPr>
              <w:t xml:space="preserve">.,  относящийся к землям сельскохозяйственного назначения, кадастровый №16:07:350001:351, вид разрешенного использования -  сельскохозяйственное использование, расположенный по адресу: </w:t>
            </w:r>
            <w:proofErr w:type="spellStart"/>
            <w:proofErr w:type="gramStart"/>
            <w:r>
              <w:rPr>
                <w:rFonts w:eastAsia="Times New Roman" w:cs="Times New Roman"/>
                <w:sz w:val="22"/>
                <w:szCs w:val="22"/>
              </w:rPr>
              <w:t>Альметьевский</w:t>
            </w:r>
            <w:proofErr w:type="spellEnd"/>
            <w:proofErr w:type="gramEnd"/>
            <w:r>
              <w:rPr>
                <w:rFonts w:eastAsia="Times New Roman" w:cs="Times New Roman"/>
                <w:sz w:val="22"/>
                <w:szCs w:val="22"/>
              </w:rPr>
              <w:t xml:space="preserve"> р-он, С/Х ООО А/Ф «Васильевская»</w:t>
            </w:r>
          </w:p>
        </w:tc>
        <w:tc>
          <w:tcPr>
            <w:tcW w:w="1686" w:type="pct"/>
            <w:vAlign w:val="center"/>
          </w:tcPr>
          <w:p>
            <w:pPr>
              <w:ind w:left="-107"/>
              <w:jc w:val="center"/>
              <w:rPr>
                <w:rFonts w:eastAsia="Times New Roman" w:cs="Times New Roman"/>
                <w:sz w:val="22"/>
                <w:szCs w:val="22"/>
              </w:rPr>
            </w:pPr>
            <w:r>
              <w:rPr>
                <w:rFonts w:eastAsia="Times New Roman" w:cs="Times New Roman"/>
                <w:sz w:val="22"/>
                <w:szCs w:val="22"/>
              </w:rPr>
              <w:t>20 700</w:t>
            </w:r>
          </w:p>
        </w:tc>
      </w:tr>
      <w:tr>
        <w:tc>
          <w:tcPr>
            <w:tcW w:w="330" w:type="pct"/>
            <w:vAlign w:val="center"/>
          </w:tcPr>
          <w:p>
            <w:pPr>
              <w:autoSpaceDE w:val="0"/>
              <w:autoSpaceDN w:val="0"/>
              <w:adjustRightInd w:val="0"/>
              <w:spacing w:line="216" w:lineRule="auto"/>
              <w:jc w:val="center"/>
              <w:rPr>
                <w:rFonts w:eastAsia="Times New Roman" w:cs="Times New Roman"/>
                <w:sz w:val="22"/>
                <w:szCs w:val="22"/>
              </w:rPr>
            </w:pPr>
            <w:r>
              <w:rPr>
                <w:rFonts w:eastAsia="Times New Roman" w:cs="Times New Roman"/>
                <w:sz w:val="22"/>
                <w:szCs w:val="22"/>
              </w:rPr>
              <w:t>5</w:t>
            </w:r>
          </w:p>
        </w:tc>
        <w:tc>
          <w:tcPr>
            <w:tcW w:w="2984" w:type="pct"/>
          </w:tcPr>
          <w:p>
            <w:pPr>
              <w:spacing w:line="216" w:lineRule="auto"/>
              <w:ind w:left="-108"/>
              <w:jc w:val="both"/>
              <w:rPr>
                <w:rFonts w:eastAsia="Times New Roman" w:cs="Times New Roman"/>
                <w:sz w:val="22"/>
                <w:szCs w:val="22"/>
              </w:rPr>
            </w:pPr>
            <w:r>
              <w:rPr>
                <w:rFonts w:eastAsia="Times New Roman" w:cs="Times New Roman"/>
                <w:sz w:val="22"/>
                <w:szCs w:val="22"/>
              </w:rPr>
              <w:t xml:space="preserve">Земельный участок, площадью 500 000 </w:t>
            </w:r>
            <w:proofErr w:type="spellStart"/>
            <w:r>
              <w:rPr>
                <w:rFonts w:eastAsia="Times New Roman" w:cs="Times New Roman"/>
                <w:sz w:val="22"/>
                <w:szCs w:val="22"/>
              </w:rPr>
              <w:t>кв.м</w:t>
            </w:r>
            <w:proofErr w:type="spellEnd"/>
            <w:r>
              <w:rPr>
                <w:rFonts w:eastAsia="Times New Roman" w:cs="Times New Roman"/>
                <w:sz w:val="22"/>
                <w:szCs w:val="22"/>
              </w:rPr>
              <w:t xml:space="preserve">.,  относящийся к землям сельскохозяйственного назначения, кадастровый №16:07:350001:352, вид разрешенного использования -  сельскохозяйственное использование, расположенный по адресу: </w:t>
            </w:r>
            <w:proofErr w:type="spellStart"/>
            <w:proofErr w:type="gramStart"/>
            <w:r>
              <w:rPr>
                <w:rFonts w:eastAsia="Times New Roman" w:cs="Times New Roman"/>
                <w:sz w:val="22"/>
                <w:szCs w:val="22"/>
              </w:rPr>
              <w:t>Альметьевский</w:t>
            </w:r>
            <w:proofErr w:type="spellEnd"/>
            <w:proofErr w:type="gramEnd"/>
            <w:r>
              <w:rPr>
                <w:rFonts w:eastAsia="Times New Roman" w:cs="Times New Roman"/>
                <w:sz w:val="22"/>
                <w:szCs w:val="22"/>
              </w:rPr>
              <w:t xml:space="preserve"> р-он, С/Х ООО А/Ф «Васильевская»</w:t>
            </w:r>
          </w:p>
        </w:tc>
        <w:tc>
          <w:tcPr>
            <w:tcW w:w="1686" w:type="pct"/>
            <w:vAlign w:val="center"/>
          </w:tcPr>
          <w:p>
            <w:pPr>
              <w:ind w:left="-107"/>
              <w:jc w:val="center"/>
              <w:rPr>
                <w:rFonts w:eastAsia="Times New Roman" w:cs="Times New Roman"/>
                <w:sz w:val="22"/>
                <w:szCs w:val="22"/>
              </w:rPr>
            </w:pPr>
            <w:r>
              <w:rPr>
                <w:rFonts w:eastAsia="Times New Roman" w:cs="Times New Roman"/>
                <w:sz w:val="22"/>
                <w:szCs w:val="22"/>
              </w:rPr>
              <w:t>29 700</w:t>
            </w:r>
          </w:p>
        </w:tc>
      </w:tr>
    </w:tbl>
    <w:p/>
    <w:sectPr>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szCs w:val="24"/>
      <w:lang w:eastAsia="ru-RU"/>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9"/>
    <w:qFormat/>
    <w:pPr>
      <w:spacing w:before="240" w:after="60"/>
      <w:outlineLvl w:val="5"/>
    </w:pPr>
    <w:rPr>
      <w:rFonts w:ascii="Calibri" w:eastAsia="Times New Roman" w:hAnsi="Calibri" w:cs="Times New Roman"/>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9"/>
    <w:rPr>
      <w:rFonts w:ascii="Calibri" w:eastAsia="Times New Roman" w:hAnsi="Calibri" w:cs="Times New Roman"/>
      <w:b/>
      <w:bCs/>
      <w:lang w:val="en-US"/>
    </w:rPr>
  </w:style>
  <w:style w:type="character" w:styleId="a3">
    <w:name w:val="Strong"/>
    <w:uiPriority w:val="22"/>
    <w:qFormat/>
    <w:rPr>
      <w:rFonts w:ascii="Times New Roman" w:hAnsi="Times New Roman" w:cs="Times New Roman" w:hint="default"/>
      <w:b/>
      <w:bCs/>
    </w:rPr>
  </w:style>
  <w:style w:type="paragraph" w:styleId="a4">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szCs w:val="24"/>
      <w:lang w:eastAsia="ru-RU"/>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9"/>
    <w:qFormat/>
    <w:pPr>
      <w:spacing w:before="240" w:after="60"/>
      <w:outlineLvl w:val="5"/>
    </w:pPr>
    <w:rPr>
      <w:rFonts w:ascii="Calibri" w:eastAsia="Times New Roman" w:hAnsi="Calibri" w:cs="Times New Roman"/>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9"/>
    <w:rPr>
      <w:rFonts w:ascii="Calibri" w:eastAsia="Times New Roman" w:hAnsi="Calibri" w:cs="Times New Roman"/>
      <w:b/>
      <w:bCs/>
      <w:lang w:val="en-US"/>
    </w:rPr>
  </w:style>
  <w:style w:type="character" w:styleId="a3">
    <w:name w:val="Strong"/>
    <w:uiPriority w:val="22"/>
    <w:qFormat/>
    <w:rPr>
      <w:rFonts w:ascii="Times New Roman" w:hAnsi="Times New Roman" w:cs="Times New Roman" w:hint="default"/>
      <w:b/>
      <w:bCs/>
    </w:rPr>
  </w:style>
  <w:style w:type="paragraph" w:styleId="a4">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2020-08-14T06:38:00Z</dcterms:created>
  <dcterms:modified xsi:type="dcterms:W3CDTF">2020-08-14T06:38:00Z</dcterms:modified>
</cp:coreProperties>
</file>